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/>
        <w:ind w:hanging="2" w:left="0"/>
        <w:jc w:val="center"/>
        <w:rPr>
          <w:sz w:val="21"/>
          <w:szCs w:val="21"/>
        </w:rPr>
      </w:pPr>
      <w:r>
        <mc:AlternateContent>
          <mc:Choice Requires="wps">
            <w:drawing>
              <wp:anchor behindDoc="0" distT="0" distB="0" distL="635" distR="0" simplePos="0" locked="0" layoutInCell="1" allowOverlap="1" relativeHeight="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Forma1"/>
                        <wps:cNvSpPr/>
                      </wps:nvSpPr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stroked="f" o:allowincell="f" style="position:absolute;margin-left:0.05pt;margin-top:0.05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  <w:sz w:val="21"/>
          <w:szCs w:val="21"/>
          <w:u w:val="single"/>
        </w:rPr>
        <w:t>DOCUMENTO DE FORMALIZAÇÃO DA DEMANDA (DFD)</w:t>
      </w:r>
    </w:p>
    <w:p>
      <w:pPr>
        <w:pStyle w:val="Normal"/>
        <w:tabs>
          <w:tab w:val="clear" w:pos="720"/>
          <w:tab w:val="left" w:pos="495" w:leader="none"/>
        </w:tabs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ab/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 xml:space="preserve">Setor Requisitante (Secretaria): </w:t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Secretário de Obras, Serviços e Desenvolvimento Urbano</w:t>
      </w:r>
    </w:p>
    <w:p>
      <w:pPr>
        <w:pStyle w:val="Header"/>
        <w:spacing w:lineRule="auto" w:line="240"/>
        <w:ind w:hanging="2" w:left="0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Responsável pela Demanda:</w:t>
      </w:r>
      <w:r>
        <w:rPr>
          <w:rFonts w:eastAsia="Merriweather"/>
          <w:color w:val="000000"/>
          <w:sz w:val="21"/>
          <w:szCs w:val="21"/>
        </w:rPr>
        <w:t xml:space="preserve"> </w:t>
      </w:r>
      <w:r>
        <w:rPr>
          <w:rFonts w:cs="Arial"/>
          <w:color w:val="000000"/>
          <w:sz w:val="21"/>
          <w:szCs w:val="21"/>
        </w:rPr>
        <w:t>Romulo Ramalho Farias</w:t>
      </w:r>
      <w:r>
        <w:rPr>
          <w:rFonts w:cs="Arial"/>
          <w:b/>
          <w:i/>
          <w:color w:val="000000"/>
          <w:sz w:val="21"/>
          <w:szCs w:val="21"/>
        </w:rPr>
        <w:t xml:space="preserve"> </w:t>
      </w:r>
      <w:r>
        <w:rPr>
          <w:rFonts w:eastAsia="Merriweather" w:cs="Arial"/>
          <w:color w:val="000000"/>
          <w:sz w:val="21"/>
          <w:szCs w:val="21"/>
        </w:rPr>
        <w:t>Secretário de Obras, Serviços e Desenvolvimento Urbano</w:t>
      </w:r>
    </w:p>
    <w:p>
      <w:pPr>
        <w:pStyle w:val="Header"/>
        <w:spacing w:lineRule="auto" w:line="240"/>
        <w:ind w:hanging="2" w:left="0"/>
        <w:rPr>
          <w:rFonts w:eastAsia="Merriweather"/>
          <w:color w:val="000000"/>
          <w:sz w:val="21"/>
          <w:szCs w:val="21"/>
        </w:rPr>
      </w:pPr>
      <w:r>
        <w:rPr>
          <w:rFonts w:eastAsia="Merriweather"/>
          <w:color w:val="000000"/>
          <w:sz w:val="21"/>
          <w:szCs w:val="21"/>
        </w:rPr>
      </w:r>
    </w:p>
    <w:p>
      <w:pPr>
        <w:pStyle w:val="Header"/>
        <w:spacing w:lineRule="auto" w:line="240"/>
        <w:ind w:hanging="0" w:left="0"/>
        <w:rPr>
          <w:sz w:val="21"/>
          <w:szCs w:val="21"/>
        </w:rPr>
      </w:pPr>
      <w:r>
        <w:rPr>
          <w:rFonts w:eastAsia="Merriweather"/>
          <w:b/>
          <w:sz w:val="21"/>
          <w:szCs w:val="21"/>
          <w:u w:val="single"/>
        </w:rPr>
        <w:t>Objeto</w:t>
      </w:r>
      <w:r>
        <w:rPr>
          <w:rFonts w:eastAsia="Merriweather"/>
          <w:sz w:val="21"/>
          <w:szCs w:val="21"/>
        </w:rPr>
        <w:t xml:space="preserve">: </w:t>
      </w:r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530794000" w:edGrp="everyone"/>
      <w:r>
        <w:rPr>
          <w:rFonts w:eastAsia="Merriweather"/>
          <w:sz w:val="21"/>
          <w:szCs w:val="21"/>
        </w:rPr>
        <w:t xml:space="preserve"> x ) Serviço não continuado; </w:t>
      </w:r>
      <w:permEnd w:id="530794000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2083024662" w:edGrp="everyone"/>
      <w:r>
        <w:rPr>
          <w:rFonts w:eastAsia="Merriweather"/>
          <w:sz w:val="21"/>
          <w:szCs w:val="21"/>
        </w:rPr>
        <w:t xml:space="preserve">    ) Serviço continuado SEM dedicação exclusiva de mão de obra; </w:t>
      </w:r>
      <w:permEnd w:id="2083024662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602640577" w:edGrp="everyone"/>
      <w:r>
        <w:rPr>
          <w:rFonts w:eastAsia="Merriweather"/>
          <w:sz w:val="21"/>
          <w:szCs w:val="21"/>
        </w:rPr>
        <w:t xml:space="preserve">    ) Serviço continuado COM dedicação exclusiva de mão de obra;</w:t>
      </w:r>
      <w:permEnd w:id="1602640577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568499714" w:edGrp="everyone"/>
      <w:r>
        <w:rPr>
          <w:rFonts w:eastAsia="Merriweather"/>
          <w:sz w:val="21"/>
          <w:szCs w:val="21"/>
        </w:rPr>
        <w:t xml:space="preserve">    ) Material de consumo; </w:t>
      </w:r>
      <w:permEnd w:id="1568499714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144740891" w:edGrp="everyone"/>
      <w:r>
        <w:rPr>
          <w:rFonts w:eastAsia="Merriweather"/>
          <w:sz w:val="21"/>
          <w:szCs w:val="21"/>
        </w:rPr>
        <w:t xml:space="preserve">    ) Material permanente / equipamento.</w:t>
      </w:r>
      <w:permEnd w:id="1144740891"/>
    </w:p>
    <w:p>
      <w:pPr>
        <w:pStyle w:val="Header"/>
        <w:spacing w:lineRule="auto" w:line="240"/>
        <w:ind w:hanging="2" w:left="0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Header"/>
        <w:spacing w:lineRule="auto" w:line="240"/>
        <w:ind w:hanging="2" w:left="0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  <w:u w:val="single"/>
        </w:rPr>
        <w:t>Forma de Contratação sugerida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permStart w:id="1084967555" w:edGrp="everyone"/>
      <w:r>
        <w:rPr>
          <w:rFonts w:eastAsia="Merriweather"/>
          <w:sz w:val="21"/>
          <w:szCs w:val="21"/>
        </w:rPr>
        <w:t xml:space="preserve">Modalidades da </w:t>
      </w:r>
      <w:r>
        <w:rPr>
          <w:rFonts w:eastAsia="Merriweather"/>
          <w:color w:val="000000"/>
          <w:sz w:val="21"/>
          <w:szCs w:val="21"/>
        </w:rPr>
        <w:t xml:space="preserve">Lei n.º14.133/21 </w:t>
      </w:r>
      <w:permEnd w:id="1084967555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color w:val="000000"/>
          <w:sz w:val="21"/>
          <w:szCs w:val="21"/>
        </w:rPr>
        <w:t>(</w:t>
      </w:r>
      <w:permStart w:id="2036273732" w:edGrp="everyone"/>
      <w:r>
        <w:rPr>
          <w:rFonts w:eastAsia="Merriweather"/>
          <w:color w:val="000000"/>
          <w:sz w:val="21"/>
          <w:szCs w:val="21"/>
        </w:rPr>
        <w:t xml:space="preserve">   ) Pregão Eletrônico</w:t>
      </w:r>
      <w:permEnd w:id="2036273732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18125792" w:edGrp="everyone"/>
      <w:r>
        <w:rPr>
          <w:rFonts w:eastAsia="Merriweather"/>
          <w:sz w:val="21"/>
          <w:szCs w:val="21"/>
        </w:rPr>
        <w:t xml:space="preserve">    ) Dispensa/Inexigibilidade; </w:t>
      </w:r>
      <w:permEnd w:id="118125792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405240012" w:edGrp="everyone"/>
      <w:r>
        <w:rPr>
          <w:rFonts w:eastAsia="Merriweather"/>
          <w:sz w:val="21"/>
          <w:szCs w:val="21"/>
        </w:rPr>
        <w:t xml:space="preserve">    ) Adesão à IRP de outro Órgão.</w:t>
      </w:r>
      <w:permEnd w:id="1405240012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( x ) Concorrência Eletrônica</w:t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1. Justificativa da necessidade da contratação da solução, considerando o Planejamento Estratégico, se for o caso</w:t>
      </w:r>
      <w:r>
        <w:rPr>
          <w:rFonts w:eastAsia="Merriweather"/>
          <w:sz w:val="21"/>
          <w:szCs w:val="21"/>
        </w:rPr>
        <w:t>:</w:t>
      </w:r>
    </w:p>
    <w:p>
      <w:pPr>
        <w:pStyle w:val="BodyText"/>
        <w:spacing w:lineRule="auto" w:line="240"/>
        <w:jc w:val="both"/>
        <w:rPr>
          <w:sz w:val="21"/>
          <w:szCs w:val="21"/>
        </w:rPr>
      </w:pPr>
      <w:r>
        <w:rPr>
          <w:sz w:val="21"/>
          <w:szCs w:val="21"/>
        </w:rPr>
        <w:t>O Município de Bandeirantes-PR identificou a necessidade de implantação de um parque industrial nas imediações da Rodovia PR-436, com o objetivo de disponibilizar uma área estruturada e adequada para a instalação e expansão de empreendimentos industriais. Tal iniciativa busca suprir a ausência de infraestrutura compatível com a demanda crescente por espaços industriais no município.</w:t>
      </w:r>
    </w:p>
    <w:p>
      <w:pPr>
        <w:pStyle w:val="BodyText"/>
        <w:spacing w:lineRule="auto" w:line="240"/>
        <w:jc w:val="both"/>
        <w:rPr/>
      </w:pPr>
      <w:r>
        <w:rPr>
          <w:sz w:val="21"/>
          <w:szCs w:val="21"/>
        </w:rPr>
        <w:t xml:space="preserve">Neste momento, a contratação tem como objetivo exclusivo a </w:t>
      </w:r>
      <w:r>
        <w:rPr>
          <w:rStyle w:val="Strong"/>
          <w:b w:val="false"/>
          <w:bCs w:val="false"/>
          <w:sz w:val="21"/>
          <w:szCs w:val="21"/>
        </w:rPr>
        <w:t>elaboração dos projetos técnicos necessários para a futura implantação da área industrial</w:t>
      </w:r>
      <w:r>
        <w:rPr>
          <w:sz w:val="21"/>
          <w:szCs w:val="21"/>
        </w:rPr>
        <w:t xml:space="preserve">, incluindo estudos e projetos de infraestrutura viária, drenagem, iluminação pública, entre outros elementos essenciais. Também está incluída a </w:t>
      </w:r>
      <w:r>
        <w:rPr>
          <w:rStyle w:val="Strong"/>
          <w:b w:val="false"/>
          <w:bCs w:val="false"/>
          <w:sz w:val="21"/>
          <w:szCs w:val="21"/>
        </w:rPr>
        <w:t>obtenção do licenciamento ambiental</w:t>
      </w:r>
      <w:r>
        <w:rPr>
          <w:sz w:val="21"/>
          <w:szCs w:val="21"/>
        </w:rPr>
        <w:t>, etapa indispensável para assegurar a regularidade e a viabilidade ambiental do empreendimento.</w:t>
      </w:r>
    </w:p>
    <w:p>
      <w:pPr>
        <w:pStyle w:val="BodyText"/>
        <w:spacing w:lineRule="auto" w:line="240"/>
        <w:jc w:val="both"/>
        <w:rPr>
          <w:sz w:val="21"/>
          <w:szCs w:val="21"/>
        </w:rPr>
      </w:pPr>
      <w:r>
        <w:rPr>
          <w:sz w:val="21"/>
          <w:szCs w:val="21"/>
        </w:rPr>
        <w:t>O desenvolvimento deste projeto é etapa fundamental para fomentar o crescimento econômico local, pois permitirá o planejamento adequado da área industrial, atraindo futuramente novos investimentos, promovendo a geração de empregos e renda, fortalecendo o comércio e ampliando a arrecadação municipal. A localização estratégica, próxima à PR-436, contribui para a eficiência logística e o escoamento da produção, favorecendo a competitividade das empresas que vierem a se instalar no local.</w:t>
      </w:r>
    </w:p>
    <w:p>
      <w:pPr>
        <w:pStyle w:val="BodyText"/>
        <w:spacing w:lineRule="auto" w:line="240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2. Quantidade de material/serviço da solução a ser contratada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tbl>
      <w:tblPr>
        <w:tblW w:w="9881" w:type="dxa"/>
        <w:jc w:val="left"/>
        <w:tblInd w:w="-10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664"/>
        <w:gridCol w:w="4044"/>
        <w:gridCol w:w="3261"/>
        <w:gridCol w:w="1911"/>
      </w:tblGrid>
      <w:tr>
        <w:trPr>
          <w:trHeight w:val="476" w:hRule="atLeast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2" w:left="-142" w:right="-100"/>
              <w:jc w:val="center"/>
              <w:rPr>
                <w:sz w:val="21"/>
                <w:szCs w:val="21"/>
              </w:rPr>
            </w:pPr>
            <w:r>
              <w:rPr>
                <w:rFonts w:eastAsia="Arial"/>
                <w:b/>
                <w:sz w:val="21"/>
                <w:szCs w:val="21"/>
              </w:rPr>
              <w:t>ITEM</w:t>
            </w:r>
          </w:p>
        </w:tc>
        <w:tc>
          <w:tcPr>
            <w:tcW w:w="40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2" w:left="0"/>
              <w:jc w:val="center"/>
              <w:rPr>
                <w:sz w:val="21"/>
                <w:szCs w:val="21"/>
              </w:rPr>
            </w:pPr>
            <w:r>
              <w:rPr>
                <w:rFonts w:eastAsia="Arial"/>
                <w:b/>
                <w:sz w:val="21"/>
                <w:szCs w:val="21"/>
              </w:rPr>
              <w:t>ESPECIFICAÇÃO</w:t>
            </w: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2" w:left="0"/>
              <w:jc w:val="center"/>
              <w:rPr>
                <w:sz w:val="21"/>
                <w:szCs w:val="21"/>
              </w:rPr>
            </w:pPr>
            <w:r>
              <w:rPr>
                <w:rFonts w:eastAsia="Arial"/>
                <w:b/>
                <w:sz w:val="21"/>
                <w:szCs w:val="21"/>
              </w:rPr>
              <w:t>UNIDADE DE MEDIDA</w:t>
            </w:r>
          </w:p>
        </w:tc>
        <w:tc>
          <w:tcPr>
            <w:tcW w:w="19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2" w:left="0"/>
              <w:jc w:val="center"/>
              <w:rPr>
                <w:sz w:val="21"/>
                <w:szCs w:val="21"/>
              </w:rPr>
            </w:pPr>
            <w:r>
              <w:rPr>
                <w:rFonts w:eastAsia="Arial"/>
                <w:b/>
                <w:sz w:val="21"/>
                <w:szCs w:val="21"/>
              </w:rPr>
              <w:t>VALOR TOTAL</w:t>
            </w:r>
          </w:p>
        </w:tc>
      </w:tr>
      <w:tr>
        <w:trPr>
          <w:trHeight w:val="25" w:hRule="atLeast"/>
        </w:trPr>
        <w:tc>
          <w:tcPr>
            <w:tcW w:w="6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2" w:left="0"/>
              <w:jc w:val="center"/>
              <w:rPr>
                <w:sz w:val="21"/>
                <w:szCs w:val="21"/>
              </w:rPr>
            </w:pPr>
            <w:permStart w:id="855388470" w:edGrp="everyone"/>
            <w:permStart w:id="1185099843" w:edGrp="everyone"/>
            <w:permStart w:id="942416966" w:edGrp="everyone"/>
            <w:permStart w:id="1502364965" w:edGrp="everyone"/>
            <w:permStart w:id="2133668132" w:edGrp="everyone"/>
            <w:permStart w:id="1871277222" w:edGrp="everyone"/>
            <w:permStart w:id="1301546235" w:edGrp="everyone"/>
            <w:r>
              <w:rPr>
                <w:rFonts w:eastAsia="Arial"/>
                <w:b/>
                <w:sz w:val="21"/>
                <w:szCs w:val="21"/>
              </w:rPr>
              <w:t>1</w:t>
            </w:r>
            <w:permEnd w:id="855388470"/>
            <w:permEnd w:id="1185099843"/>
            <w:permEnd w:id="942416966"/>
            <w:permEnd w:id="1502364965"/>
            <w:permEnd w:id="2133668132"/>
            <w:permEnd w:id="1871277222"/>
            <w:permEnd w:id="1301546235"/>
          </w:p>
        </w:tc>
        <w:tc>
          <w:tcPr>
            <w:tcW w:w="404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2" w:left="0"/>
              <w:jc w:val="both"/>
              <w:rPr/>
            </w:pPr>
            <w:r>
              <w:rPr>
                <w:rFonts w:cs="Arial" w:ascii="Arial" w:hAnsi="Arial"/>
                <w:sz w:val="21"/>
                <w:szCs w:val="21"/>
              </w:rPr>
              <w:t xml:space="preserve"> </w:t>
            </w:r>
            <w:r>
              <w:rPr>
                <w:rStyle w:val="Strong"/>
                <w:rFonts w:cs="Arial" w:ascii="Arial" w:hAnsi="Arial"/>
                <w:sz w:val="21"/>
                <w:szCs w:val="21"/>
              </w:rPr>
              <w:t>CONTRATAÇÃO DE EMPRESA DE ENGENHARIA PARA CONFECÇÃO DE PROJETOS COMPLEMENTARES PARA IMPLANTAÇÃO DO PARQUE INDUSTRIAL LOCALIZADO NA PR-436 – BANDEIRANTES-PR.</w:t>
            </w:r>
          </w:p>
          <w:p>
            <w:pPr>
              <w:pStyle w:val="Normal"/>
              <w:spacing w:lineRule="auto" w:line="240"/>
              <w:ind w:hanging="2" w:left="0"/>
              <w:jc w:val="both"/>
              <w:rPr>
                <w:rFonts w:ascii="Arial" w:hAnsi="Arial" w:eastAsia="Merriweather" w:cs="Arial"/>
                <w:sz w:val="21"/>
                <w:szCs w:val="21"/>
              </w:rPr>
            </w:pPr>
            <w:r>
              <w:rPr>
                <w:rFonts w:eastAsia="Merriweather" w:cs="Arial" w:ascii="Arial" w:hAnsi="Arial"/>
                <w:sz w:val="21"/>
                <w:szCs w:val="21"/>
              </w:rPr>
            </w:r>
          </w:p>
        </w:tc>
        <w:tc>
          <w:tcPr>
            <w:tcW w:w="326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ind w:hanging="0" w:left="0"/>
              <w:jc w:val="both"/>
              <w:rPr>
                <w:sz w:val="21"/>
                <w:szCs w:val="21"/>
              </w:rPr>
            </w:pPr>
            <w:r>
              <w:rPr>
                <w:rFonts w:eastAsia="Arial"/>
                <w:sz w:val="21"/>
                <w:szCs w:val="21"/>
              </w:rPr>
              <w:t>1</w:t>
            </w:r>
          </w:p>
        </w:tc>
        <w:tc>
          <w:tcPr>
            <w:tcW w:w="191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Strong"/>
                <w:rFonts w:eastAsia="Arial"/>
                <w:b/>
                <w:bCs/>
                <w:sz w:val="21"/>
                <w:szCs w:val="21"/>
                <w:shd w:fill="auto" w:val="clear"/>
              </w:rPr>
              <w:t xml:space="preserve"> </w:t>
            </w:r>
            <w:r>
              <w:rPr>
                <w:rStyle w:val="Strong"/>
                <w:rFonts w:eastAsia="Arial"/>
                <w:b/>
                <w:bCs/>
                <w:sz w:val="21"/>
                <w:szCs w:val="21"/>
                <w:shd w:fill="auto" w:val="clear"/>
              </w:rPr>
              <w:t>R$ 319.511,38 (Trezentos e dezenove mil, quinhentos e onze reais e trinta e oito centavos).</w:t>
            </w:r>
          </w:p>
        </w:tc>
      </w:tr>
    </w:tbl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3. Previsão de data em que deve ser assinado o instrumento contratual</w:t>
      </w:r>
      <w:r>
        <w:rPr>
          <w:rFonts w:eastAsia="Merriweather"/>
          <w:sz w:val="21"/>
          <w:szCs w:val="21"/>
        </w:rPr>
        <w:t>: 05 dias úteis a ser determinado em contrato.</w:t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</w:rPr>
      </w:pPr>
      <w:r>
        <w:rPr>
          <w:rFonts w:eastAsia="Merriweather"/>
          <w:b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4. Créditos Orçamentários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rStyle w:val="Strong"/>
          <w:rFonts w:eastAsia="Arial"/>
          <w:sz w:val="21"/>
          <w:szCs w:val="21"/>
        </w:rPr>
      </w:pPr>
      <w:r>
        <w:rPr>
          <w:rFonts w:eastAsia="Merriweather"/>
          <w:sz w:val="21"/>
          <w:szCs w:val="21"/>
        </w:rPr>
        <w:t xml:space="preserve">4.1. Valor estimado da contratação: </w:t>
      </w:r>
      <w:r>
        <w:rPr>
          <w:rStyle w:val="Strong"/>
          <w:rFonts w:eastAsia="Arial"/>
          <w:b/>
          <w:bCs/>
          <w:sz w:val="21"/>
          <w:szCs w:val="21"/>
          <w:shd w:fill="auto" w:val="clear"/>
        </w:rPr>
        <w:t>R$ 319.511,38 (Trezentos e dezenove mil, quinhentos e onze reais e trinta e oito centavos).</w:t>
      </w:r>
    </w:p>
    <w:p>
      <w:pPr>
        <w:pStyle w:val="Normal"/>
        <w:spacing w:lineRule="auto" w:line="240"/>
        <w:ind w:hanging="0" w:left="0"/>
        <w:jc w:val="both"/>
        <w:rPr>
          <w:b/>
          <w:bCs/>
          <w:sz w:val="21"/>
          <w:szCs w:val="21"/>
          <w:shd w:fill="FFFF00" w:val="clear"/>
        </w:rPr>
      </w:pPr>
      <w:r>
        <w:rPr>
          <w:b/>
          <w:bCs/>
          <w:sz w:val="21"/>
          <w:szCs w:val="21"/>
          <w:shd w:fill="FFFF00" w:val="clear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bCs/>
          <w:sz w:val="21"/>
          <w:szCs w:val="21"/>
        </w:rPr>
        <w:t xml:space="preserve">4.2. Ação do Plano Operacional (Plano Interno): </w:t>
      </w:r>
      <w:r>
        <w:rPr>
          <w:rFonts w:eastAsia="Merriweather"/>
          <w:b/>
          <w:bCs/>
          <w:color w:val="000000"/>
          <w:sz w:val="21"/>
          <w:szCs w:val="21"/>
        </w:rPr>
        <w:t>Id do item no PCA:</w:t>
      </w:r>
      <w:r>
        <w:rPr>
          <w:rFonts w:eastAsia="Merriweather" w:ascii="Aptos Mono" w:hAnsi="Aptos Mono"/>
          <w:b/>
          <w:bCs/>
          <w:color w:val="000000"/>
          <w:sz w:val="23"/>
          <w:szCs w:val="23"/>
        </w:rPr>
        <w:t xml:space="preserve"> </w:t>
      </w:r>
      <w:permStart w:id="1435574759" w:edGrp="everyone"/>
      <w:r>
        <w:rPr>
          <w:rFonts w:eastAsia="Merriweather"/>
          <w:b/>
          <w:bCs/>
          <w:color w:val="000000"/>
          <w:sz w:val="22"/>
          <w:szCs w:val="23"/>
        </w:rPr>
        <w:t>SDE0078</w:t>
      </w:r>
      <w:permEnd w:id="1435574759"/>
    </w:p>
    <w:p>
      <w:pPr>
        <w:pStyle w:val="Normal"/>
        <w:spacing w:lineRule="auto" w:line="240"/>
        <w:ind w:hanging="0" w:left="0"/>
        <w:jc w:val="both"/>
        <w:rPr>
          <w:b/>
          <w:bCs/>
          <w:sz w:val="21"/>
          <w:szCs w:val="21"/>
          <w:shd w:fill="FFFF00" w:val="clear"/>
        </w:rPr>
      </w:pPr>
      <w:r>
        <w:rPr>
          <w:b/>
          <w:bCs/>
          <w:sz w:val="21"/>
          <w:szCs w:val="21"/>
          <w:shd w:fill="FFFF00" w:val="clear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bCs/>
          <w:sz w:val="21"/>
          <w:szCs w:val="21"/>
        </w:rPr>
        <w:t xml:space="preserve">4.3. Plano Orçamentário: </w:t>
      </w:r>
    </w:p>
    <w:p>
      <w:pPr>
        <w:pStyle w:val="Normal"/>
        <w:spacing w:lineRule="auto" w:line="240"/>
        <w:ind w:hanging="2" w:left="0"/>
        <w:jc w:val="both"/>
        <w:rPr>
          <w:rFonts w:ascii="Aptos Mono" w:hAnsi="Aptos Mono" w:eastAsia="Merriweather"/>
          <w:color w:val="000000"/>
          <w:sz w:val="21"/>
          <w:szCs w:val="21"/>
        </w:rPr>
      </w:pPr>
      <w:r>
        <w:rPr>
          <w:rFonts w:eastAsia="Merriweather" w:ascii="Aptos Mono" w:hAnsi="Aptos Mono"/>
          <w:color w:val="000000"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bCs/>
          <w:sz w:val="21"/>
          <w:szCs w:val="21"/>
        </w:rPr>
      </w:pPr>
      <w:r>
        <w:rPr>
          <w:rFonts w:eastAsia="Merriweather"/>
          <w:b/>
          <w:bCs/>
          <w:sz w:val="21"/>
          <w:szCs w:val="21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-47625</wp:posOffset>
            </wp:positionH>
            <wp:positionV relativeFrom="paragraph">
              <wp:posOffset>81915</wp:posOffset>
            </wp:positionV>
            <wp:extent cx="5760085" cy="1327785"/>
            <wp:effectExtent l="0" t="0" r="0" b="0"/>
            <wp:wrapSquare wrapText="largest"/>
            <wp:docPr id="3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5. Indicação do(s) integrante(s) da equipe de planejamento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numPr>
          <w:ilvl w:val="0"/>
          <w:numId w:val="1"/>
        </w:numPr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Fiscal Técnico, titular e substituto:</w:t>
      </w:r>
      <w:permStart w:id="1337291491" w:edGrp="everyone"/>
      <w:r>
        <w:rPr>
          <w:rFonts w:eastAsia="Merriweather"/>
          <w:sz w:val="21"/>
          <w:szCs w:val="21"/>
        </w:rPr>
        <w:t xml:space="preserve"> LEONARDO</w:t>
      </w:r>
      <w:r>
        <w:rPr>
          <w:rFonts w:eastAsia="Merriweather" w:cs="Arial"/>
          <w:sz w:val="21"/>
          <w:szCs w:val="21"/>
        </w:rPr>
        <w:t xml:space="preserve"> ANDRÉ ROSSATO e </w:t>
      </w:r>
      <w:r>
        <w:rPr>
          <w:rFonts w:eastAsia="Merriweather" w:cs="Times New Roman" w:ascii="Times New Roman" w:hAnsi="Times New Roman"/>
          <w:b w:val="false"/>
          <w:bCs w:val="false"/>
          <w:sz w:val="20"/>
          <w:szCs w:val="20"/>
        </w:rPr>
        <w:t>T</w:t>
      </w:r>
      <w:permEnd w:id="1337291491"/>
      <w:r>
        <w:rPr>
          <w:rFonts w:eastAsia="Merriweather" w:cs="Times New Roman" w:ascii="Times New Roman" w:hAnsi="Times New Roman"/>
          <w:b w:val="false"/>
          <w:bCs w:val="false"/>
          <w:i w:val="false"/>
          <w:iCs w:val="false"/>
          <w:sz w:val="20"/>
          <w:szCs w:val="20"/>
        </w:rPr>
        <w:t>HAYANE FRANCYELLE CUNHA MARTINS</w:t>
      </w:r>
    </w:p>
    <w:p>
      <w:pPr>
        <w:pStyle w:val="Normal"/>
        <w:numPr>
          <w:ilvl w:val="0"/>
          <w:numId w:val="1"/>
        </w:numPr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 xml:space="preserve">Assessoria de Planejamento, titular e substituto: </w:t>
      </w:r>
      <w:r>
        <w:rPr>
          <w:rFonts w:eastAsia="Merriweather" w:cs="Times New Roman" w:ascii="Times New Roman" w:hAnsi="Times New Roman"/>
          <w:b w:val="false"/>
          <w:bCs w:val="false"/>
          <w:sz w:val="20"/>
          <w:szCs w:val="20"/>
        </w:rPr>
        <w:t>T</w:t>
      </w:r>
      <w:r>
        <w:rPr>
          <w:rFonts w:eastAsia="Merriweather" w:cs="Times New Roman" w:ascii="Times New Roman" w:hAnsi="Times New Roman"/>
          <w:b w:val="false"/>
          <w:bCs w:val="false"/>
          <w:i w:val="false"/>
          <w:iCs w:val="false"/>
          <w:sz w:val="20"/>
          <w:szCs w:val="20"/>
        </w:rPr>
        <w:t>HAYANE FRANCYELLE CUNHA MARTINS</w:t>
      </w:r>
      <w:permStart w:id="633219158" w:edGrp="everyone"/>
      <w:r>
        <w:rPr>
          <w:rFonts w:eastAsia="Merriweather" w:cs="Arial"/>
          <w:sz w:val="21"/>
          <w:szCs w:val="21"/>
        </w:rPr>
        <w:t xml:space="preserve"> e LEONARDO ANDRÉ ROSSATO </w:t>
      </w:r>
      <w:permEnd w:id="633219158"/>
    </w:p>
    <w:p>
      <w:pPr>
        <w:pStyle w:val="Normal"/>
        <w:numPr>
          <w:ilvl w:val="0"/>
          <w:numId w:val="1"/>
        </w:numPr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Gestor do Contrato, titular e substituto:</w:t>
      </w:r>
      <w:permStart w:id="1769413989" w:edGrp="everyone"/>
      <w:r>
        <w:rPr>
          <w:rFonts w:eastAsia="Merriweather"/>
          <w:sz w:val="21"/>
          <w:szCs w:val="21"/>
        </w:rPr>
        <w:t xml:space="preserve">  </w:t>
      </w:r>
      <w:r>
        <w:rPr>
          <w:rFonts w:eastAsia="Merriweather" w:cs="Arial"/>
          <w:sz w:val="21"/>
          <w:szCs w:val="21"/>
        </w:rPr>
        <w:t>RÔMULO RAMALHO FARIAS e LEONARDO ANDRÉ ROSSATO</w:t>
      </w:r>
      <w:permEnd w:id="1769413989"/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Submeto o Documento de Formalização da Demanda para avaliação.</w:t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 xml:space="preserve">Bandeirantes, </w:t>
      </w:r>
      <w:r>
        <w:rPr>
          <w:rFonts w:eastAsia="Merriweather"/>
          <w:sz w:val="21"/>
          <w:szCs w:val="21"/>
        </w:rPr>
        <w:t>22</w:t>
      </w:r>
      <w:r>
        <w:rPr>
          <w:rFonts w:eastAsia="Merriweather"/>
          <w:sz w:val="21"/>
          <w:szCs w:val="21"/>
        </w:rPr>
        <w:t xml:space="preserve"> de agosto de 2025</w:t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center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center"/>
        <w:rPr>
          <w:sz w:val="21"/>
          <w:szCs w:val="21"/>
        </w:rPr>
      </w:pPr>
      <w:r>
        <w:rPr>
          <w:rFonts w:eastAsia="Merriweather"/>
          <w:sz w:val="21"/>
          <w:szCs w:val="21"/>
        </w:rPr>
        <w:t>____________________</w:t>
      </w:r>
    </w:p>
    <w:p>
      <w:pPr>
        <w:pStyle w:val="Normal"/>
        <w:spacing w:lineRule="auto" w:line="240"/>
        <w:ind w:hanging="1" w:left="-1" w:right="51"/>
        <w:jc w:val="center"/>
        <w:rPr>
          <w:rFonts w:cs="Arial"/>
          <w:b/>
          <w:i/>
          <w:i/>
          <w:sz w:val="21"/>
          <w:szCs w:val="21"/>
        </w:rPr>
      </w:pPr>
      <w:r>
        <w:rPr>
          <w:rFonts w:cs="Arial"/>
          <w:b/>
          <w:i/>
          <w:sz w:val="21"/>
          <w:szCs w:val="21"/>
        </w:rPr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rFonts w:cs="Arial"/>
          <w:b/>
          <w:i/>
          <w:sz w:val="21"/>
          <w:szCs w:val="21"/>
        </w:rPr>
        <w:t>ROMULO RAMALHO FARIAS</w:t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rFonts w:cs="Arial"/>
          <w:sz w:val="21"/>
          <w:szCs w:val="21"/>
        </w:rPr>
        <w:t>Secretário de Obras, Serviços e Desenvolvimento Urbano</w:t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rFonts w:cs="Arial"/>
          <w:sz w:val="21"/>
          <w:szCs w:val="21"/>
        </w:rPr>
        <w:t>CREA 179716/D</w:t>
      </w:r>
    </w:p>
    <w:p>
      <w:pPr>
        <w:pStyle w:val="Normal"/>
        <w:spacing w:lineRule="auto" w:line="240"/>
        <w:ind w:hanging="2" w:left="0"/>
        <w:jc w:val="center"/>
        <w:rPr/>
      </w:pPr>
      <w:r>
        <w:rPr>
          <w:rStyle w:val="Strong"/>
          <w:rFonts w:eastAsia="Merriweather" w:cs="Arial"/>
          <w:i/>
          <w:iCs/>
          <w:color w:val="000000"/>
          <w:sz w:val="21"/>
          <w:szCs w:val="21"/>
        </w:rPr>
        <w:t>Portaria 14.387/2024</w:t>
      </w:r>
      <w:permStart w:id="1811369718" w:edGrp="everyone"/>
      <w:r>
        <w:rPr>
          <w:rFonts w:eastAsia="Merriweather"/>
          <w:color w:val="000000"/>
          <w:sz w:val="21"/>
          <w:szCs w:val="21"/>
        </w:rPr>
        <w:t>l</w:t>
      </w:r>
      <w:permEnd w:id="1811369718"/>
    </w:p>
    <w:p>
      <w:pPr>
        <w:pStyle w:val="Normal"/>
        <w:spacing w:lineRule="auto" w:line="240"/>
        <w:ind w:hanging="2" w:left="0"/>
        <w:jc w:val="center"/>
        <w:rPr>
          <w:rFonts w:eastAsia="Merriweather"/>
          <w:color w:val="FF0000"/>
          <w:sz w:val="21"/>
          <w:szCs w:val="21"/>
        </w:rPr>
      </w:pPr>
      <w:r>
        <w:rPr>
          <w:rFonts w:eastAsia="Merriweather"/>
          <w:color w:val="FF0000"/>
          <w:sz w:val="21"/>
          <w:szCs w:val="21"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701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Nyala"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 Mono">
    <w:charset w:val="00"/>
    <w:family w:val="roman"/>
    <w:pitch w:val="variable"/>
  </w:font>
  <w:font w:name="Times New Roman">
    <w:charset w:val="01"/>
    <w:family w:val="roman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column">
                <wp:posOffset>787400</wp:posOffset>
              </wp:positionH>
              <wp:positionV relativeFrom="paragraph">
                <wp:posOffset>-152400</wp:posOffset>
              </wp:positionV>
              <wp:extent cx="6130290" cy="990600"/>
              <wp:effectExtent l="0" t="0" r="0" b="0"/>
              <wp:wrapNone/>
              <wp:docPr id="5" name="Quadr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30290" cy="9906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82.7pt;height:78pt;mso-wrap-distance-left:0pt;mso-wrap-distance-right:0pt;mso-wrap-distance-top:0pt;mso-wrap-distance-bottom:0pt;margin-top:-12pt;mso-position-vertical-relative:text;margin-left:62pt;mso-position-horizontal-relative:text"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PT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dodoquadro" w:customStyle="1">
    <w:name w:val="Conteúdo do quadro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BMT/kvXGdXs60IolAfDmHywqW3g==">AMUW2mUwpwYEbHbyiDmT8gMg8spRFuCzzpyc0ou0lKnp2CbG/wBz9BuHhcSzpsHi3rvK2oJnEISuSSML/UZB0bWi9MjEgdm2MQ/22OoBqSt45JHkfSuewLY=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LibreOffice/7.6.2.1$Windows_X86_64 LibreOffice_project/56f7684011345957bbf33a7ee678afaf4d2ba333</Application>
  <AppVersion>15.0000</AppVersion>
  <Pages>2</Pages>
  <Words>508</Words>
  <Characters>3059</Characters>
  <CharactersWithSpaces>3577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2023-06-13T11:25:00Z</dcterms:created>
  <dc:creator>x</dc:creator>
  <dc:description/>
  <dc:language>pt-BR</dc:language>
  <cp:lastModifiedBy/>
  <cp:lastPrinted>2025-08-22T13:20:35Z</cp:lastPrinted>
  <dcterms:modified xsi:type="dcterms:W3CDTF">2025-08-22T13:20:46Z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